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429" w:rsidRPr="001D5429" w:rsidRDefault="001D5429" w:rsidP="001D5429">
      <w:pPr>
        <w:pStyle w:val="paragraph"/>
        <w:shd w:val="clear" w:color="auto" w:fill="FFFFFF"/>
        <w:spacing w:before="0" w:beforeAutospacing="0"/>
        <w:jc w:val="right"/>
        <w:rPr>
          <w:rFonts w:ascii="Arial" w:hAnsi="Arial" w:cs="Arial"/>
          <w:b/>
          <w:color w:val="333333"/>
          <w:sz w:val="28"/>
          <w:szCs w:val="28"/>
        </w:rPr>
      </w:pPr>
      <w:r w:rsidRPr="001D5429">
        <w:rPr>
          <w:rFonts w:ascii="Arial" w:hAnsi="Arial" w:cs="Arial"/>
          <w:b/>
          <w:color w:val="333333"/>
          <w:sz w:val="28"/>
          <w:szCs w:val="28"/>
        </w:rPr>
        <w:t>DEPARTAMENTO ADMINISTRATIVO DE LA FUNCIÓN PÚBLICA</w:t>
      </w:r>
    </w:p>
    <w:p w:rsidR="001D5429" w:rsidRPr="001D5429" w:rsidRDefault="001D5429" w:rsidP="001D5429">
      <w:pPr>
        <w:pStyle w:val="paragraph"/>
        <w:shd w:val="clear" w:color="auto" w:fill="FFFFFF"/>
        <w:spacing w:before="0" w:beforeAutospacing="0"/>
        <w:jc w:val="center"/>
        <w:rPr>
          <w:rFonts w:ascii="Arial" w:hAnsi="Arial" w:cs="Arial"/>
          <w:b/>
          <w:color w:val="333333"/>
          <w:sz w:val="28"/>
          <w:szCs w:val="28"/>
        </w:rPr>
      </w:pPr>
      <w:r w:rsidRPr="001D5429">
        <w:rPr>
          <w:rFonts w:ascii="Arial" w:hAnsi="Arial" w:cs="Arial"/>
          <w:b/>
          <w:color w:val="333333"/>
          <w:sz w:val="28"/>
          <w:szCs w:val="28"/>
        </w:rPr>
        <w:t>CONCEPTO 191651</w:t>
      </w:r>
    </w:p>
    <w:p w:rsidR="001D5429" w:rsidRPr="001D5429" w:rsidRDefault="001D5429" w:rsidP="001D5429">
      <w:pPr>
        <w:pStyle w:val="paragraph"/>
        <w:shd w:val="clear" w:color="auto" w:fill="FFFFFF"/>
        <w:spacing w:before="0" w:beforeAutospacing="0"/>
        <w:jc w:val="both"/>
        <w:rPr>
          <w:rFonts w:ascii="Arial" w:hAnsi="Arial" w:cs="Arial"/>
          <w:color w:val="333333"/>
        </w:rPr>
      </w:pPr>
    </w:p>
    <w:p w:rsidR="001D5429" w:rsidRPr="001D5429" w:rsidRDefault="001D5429" w:rsidP="001D5429">
      <w:pPr>
        <w:pStyle w:val="paragraph"/>
        <w:shd w:val="clear" w:color="auto" w:fill="FFFFFF"/>
        <w:spacing w:before="0" w:beforeAutospacing="0"/>
        <w:jc w:val="both"/>
        <w:rPr>
          <w:rFonts w:ascii="Arial" w:hAnsi="Arial" w:cs="Arial"/>
          <w:color w:val="333333"/>
        </w:rPr>
      </w:pPr>
      <w:r w:rsidRPr="001D5429">
        <w:rPr>
          <w:rFonts w:ascii="Arial" w:hAnsi="Arial" w:cs="Arial"/>
          <w:color w:val="333333"/>
        </w:rPr>
        <w:t>Fecha: 31/05/2021 02:54:47 p.m.</w:t>
      </w:r>
      <w:bookmarkStart w:id="0" w:name="_GoBack"/>
      <w:bookmarkEnd w:id="0"/>
    </w:p>
    <w:p w:rsidR="001D5429" w:rsidRPr="001D5429" w:rsidRDefault="001D5429" w:rsidP="001D5429">
      <w:pPr>
        <w:pStyle w:val="NormalWeb"/>
        <w:shd w:val="clear" w:color="auto" w:fill="FFFFFF"/>
        <w:spacing w:before="0" w:beforeAutospacing="0"/>
        <w:jc w:val="both"/>
        <w:rPr>
          <w:rFonts w:ascii="Arial" w:hAnsi="Arial" w:cs="Arial"/>
          <w:color w:val="333333"/>
        </w:rPr>
      </w:pPr>
      <w:r w:rsidRPr="001D5429">
        <w:rPr>
          <w:rFonts w:ascii="Arial" w:hAnsi="Arial" w:cs="Arial"/>
          <w:color w:val="333333"/>
        </w:rPr>
        <w:t>Bogotá D.C., </w:t>
      </w:r>
    </w:p>
    <w:p w:rsidR="001D5429" w:rsidRPr="001D5429" w:rsidRDefault="001D5429" w:rsidP="001D5429">
      <w:pPr>
        <w:pStyle w:val="NormalWeb"/>
        <w:shd w:val="clear" w:color="auto" w:fill="FFFFFF"/>
        <w:spacing w:before="0" w:beforeAutospacing="0"/>
        <w:jc w:val="both"/>
        <w:rPr>
          <w:rFonts w:ascii="Arial" w:hAnsi="Arial" w:cs="Arial"/>
          <w:color w:val="333333"/>
        </w:rPr>
      </w:pPr>
      <w:r w:rsidRPr="001D5429">
        <w:rPr>
          <w:rFonts w:ascii="Arial" w:hAnsi="Arial" w:cs="Arial"/>
          <w:b/>
          <w:bCs/>
          <w:color w:val="333333"/>
        </w:rPr>
        <w:t> </w:t>
      </w:r>
    </w:p>
    <w:p w:rsidR="001D5429" w:rsidRPr="001D5429" w:rsidRDefault="001D5429" w:rsidP="001D5429">
      <w:pPr>
        <w:pStyle w:val="NormalWeb"/>
        <w:shd w:val="clear" w:color="auto" w:fill="FFFFFF"/>
        <w:spacing w:before="0" w:beforeAutospacing="0"/>
        <w:jc w:val="both"/>
        <w:rPr>
          <w:rFonts w:ascii="Arial" w:hAnsi="Arial" w:cs="Arial"/>
          <w:color w:val="333333"/>
        </w:rPr>
      </w:pPr>
      <w:r w:rsidRPr="001D5429">
        <w:rPr>
          <w:rFonts w:ascii="Arial" w:hAnsi="Arial" w:cs="Arial"/>
          <w:b/>
          <w:bCs/>
          <w:color w:val="333333"/>
        </w:rPr>
        <w:t>REFERENCIA: ACOSO LABORAL-</w:t>
      </w:r>
      <w:r w:rsidRPr="001D5429">
        <w:rPr>
          <w:rFonts w:ascii="Arial" w:hAnsi="Arial" w:cs="Arial"/>
          <w:color w:val="333333"/>
        </w:rPr>
        <w:t> Procedimiento. </w:t>
      </w:r>
    </w:p>
    <w:p w:rsidR="001D5429" w:rsidRPr="001D5429" w:rsidRDefault="001D5429" w:rsidP="001D5429">
      <w:pPr>
        <w:pStyle w:val="paragraph"/>
        <w:shd w:val="clear" w:color="auto" w:fill="FFFFFF"/>
        <w:spacing w:before="0" w:beforeAutospacing="0"/>
        <w:jc w:val="both"/>
        <w:rPr>
          <w:rFonts w:ascii="Arial" w:hAnsi="Arial" w:cs="Arial"/>
          <w:color w:val="333333"/>
        </w:rPr>
      </w:pPr>
      <w:r w:rsidRPr="001D5429">
        <w:rPr>
          <w:rFonts w:ascii="Arial" w:hAnsi="Arial" w:cs="Arial"/>
          <w:color w:val="333333"/>
        </w:rPr>
        <w:t> Por medio del presente, y en atención a su consulta en la que solicita se le informe cómo actuar en relación a un caso de acoso laboral frente a su jefa, en una entidad donde esta misma persona es la encargada de las oficinas de control interno y planeación.</w:t>
      </w:r>
    </w:p>
    <w:p w:rsidR="001D5429" w:rsidRPr="001D5429" w:rsidRDefault="001D5429" w:rsidP="001D5429">
      <w:pPr>
        <w:pStyle w:val="paragraph"/>
        <w:shd w:val="clear" w:color="auto" w:fill="FFFFFF"/>
        <w:spacing w:before="0" w:beforeAutospacing="0"/>
        <w:jc w:val="both"/>
        <w:rPr>
          <w:rFonts w:ascii="Arial" w:hAnsi="Arial" w:cs="Arial"/>
          <w:color w:val="333333"/>
        </w:rPr>
      </w:pPr>
      <w:r w:rsidRPr="001D5429">
        <w:rPr>
          <w:rFonts w:ascii="Arial" w:hAnsi="Arial" w:cs="Arial"/>
          <w:color w:val="333333"/>
        </w:rPr>
        <w:t> Me permito darle respuesta, teniendo en cuenta que de acuerdo con lo establecido en el Decreto </w:t>
      </w:r>
      <w:hyperlink r:id="rId5" w:anchor="430" w:history="1">
        <w:r w:rsidRPr="001D5429">
          <w:rPr>
            <w:rStyle w:val="Hipervnculo"/>
            <w:rFonts w:ascii="Arial" w:hAnsi="Arial" w:cs="Arial"/>
            <w:color w:val="007BFF"/>
            <w:u w:val="none"/>
          </w:rPr>
          <w:t>430</w:t>
        </w:r>
      </w:hyperlink>
      <w:r w:rsidRPr="001D5429">
        <w:rPr>
          <w:rFonts w:ascii="Arial" w:hAnsi="Arial" w:cs="Arial"/>
          <w:color w:val="333333"/>
        </w:rPr>
        <w:t> de 2016, este Departamento Administrativo tiene como objeto el fortalecimiento de las capacidades de los servidores públicos y de las entidades y organismos del Estado, su organización y funcionamiento, el desarrollo de la democratización de la gestión pública y el servicio al ciudadano, mediante la formulación, implementación, seguimiento y evaluación de políticas públicas, la adopción de instrumentos técnicos y jurídicos, la asesoría y la capacitación.     </w:t>
      </w:r>
    </w:p>
    <w:p w:rsidR="001D5429" w:rsidRPr="001D5429" w:rsidRDefault="001D5429" w:rsidP="001D5429">
      <w:pPr>
        <w:pStyle w:val="paragraph"/>
        <w:shd w:val="clear" w:color="auto" w:fill="FFFFFF"/>
        <w:spacing w:before="0" w:beforeAutospacing="0"/>
        <w:jc w:val="both"/>
        <w:rPr>
          <w:rFonts w:ascii="Arial" w:hAnsi="Arial" w:cs="Arial"/>
          <w:color w:val="333333"/>
        </w:rPr>
      </w:pPr>
      <w:r w:rsidRPr="001D5429">
        <w:rPr>
          <w:rFonts w:ascii="Arial" w:hAnsi="Arial" w:cs="Arial"/>
          <w:color w:val="333333"/>
        </w:rPr>
        <w:t>Las competencias relativas a establecer las directrices jurídicas para la aplicación de las normas por parte de la entidad y demás organismos y entidades de la administración pública en materia de régimen de administración de personal se formaliza, entre otros, a través de conceptos jurídicos, que guardan directa relación con la interpretación general de aquellas expresiones que ofrezcan algún grado de dificultad en su comprensión o aplicación, sin que tales atribuciones comporten, de manera alguna, la definición de casos particulares que se presenten al interior de las diferentes entidades.     </w:t>
      </w:r>
    </w:p>
    <w:p w:rsidR="001D5429" w:rsidRPr="001D5429" w:rsidRDefault="001D5429" w:rsidP="001D5429">
      <w:pPr>
        <w:pStyle w:val="paragraph"/>
        <w:shd w:val="clear" w:color="auto" w:fill="FFFFFF"/>
        <w:spacing w:before="0" w:beforeAutospacing="0"/>
        <w:jc w:val="both"/>
        <w:rPr>
          <w:rFonts w:ascii="Arial" w:hAnsi="Arial" w:cs="Arial"/>
          <w:color w:val="333333"/>
        </w:rPr>
      </w:pPr>
      <w:r w:rsidRPr="001D5429">
        <w:rPr>
          <w:rFonts w:ascii="Arial" w:hAnsi="Arial" w:cs="Arial"/>
          <w:color w:val="333333"/>
        </w:rPr>
        <w:t xml:space="preserve">   En ese sentido, la resolución de los casos particulares corresponderá en todos los casos a la autoridad empleadora y nominadora, en cuanto es la instancia que conoce de manera cierta y documentada la situación particular de su personal y, además, en desarrollo de los principios de la especialización presupuestal y de la autonomía administrativa, constituye el único órgano llamado a producir una declaración de voluntad con efectos vinculantes en el mundo del derecho; o a los Jueces de la República, en el caso de controversia entre la entidad  y el empleado.  Razón por la cual, no es de nuestra competencia intervenir en situaciones internas de las entidades, actuar como ente de control, </w:t>
      </w:r>
      <w:r w:rsidRPr="001D5429">
        <w:rPr>
          <w:rFonts w:ascii="Arial" w:hAnsi="Arial" w:cs="Arial"/>
          <w:color w:val="333333"/>
        </w:rPr>
        <w:lastRenderedPageBreak/>
        <w:t>investigación, ni autorizar o señalar los procedimientos a seguir en caso de que se presenten anomalías al interior de las entidades.     </w:t>
      </w:r>
    </w:p>
    <w:p w:rsidR="001D5429" w:rsidRPr="001D5429" w:rsidRDefault="001D5429" w:rsidP="001D5429">
      <w:pPr>
        <w:pStyle w:val="paragraph"/>
        <w:shd w:val="clear" w:color="auto" w:fill="FFFFFF"/>
        <w:spacing w:before="0" w:beforeAutospacing="0"/>
        <w:jc w:val="both"/>
        <w:rPr>
          <w:rFonts w:ascii="Arial" w:hAnsi="Arial" w:cs="Arial"/>
          <w:color w:val="333333"/>
        </w:rPr>
      </w:pPr>
      <w:r w:rsidRPr="001D5429">
        <w:rPr>
          <w:rFonts w:ascii="Arial" w:hAnsi="Arial" w:cs="Arial"/>
          <w:color w:val="333333"/>
        </w:rPr>
        <w:t> </w:t>
      </w:r>
    </w:p>
    <w:p w:rsidR="001D5429" w:rsidRPr="001D5429" w:rsidRDefault="001D5429" w:rsidP="001D5429">
      <w:pPr>
        <w:pStyle w:val="paragraph"/>
        <w:shd w:val="clear" w:color="auto" w:fill="FFFFFF"/>
        <w:spacing w:before="0" w:beforeAutospacing="0"/>
        <w:jc w:val="both"/>
        <w:rPr>
          <w:rFonts w:ascii="Arial" w:hAnsi="Arial" w:cs="Arial"/>
          <w:color w:val="333333"/>
        </w:rPr>
      </w:pPr>
      <w:r w:rsidRPr="001D5429">
        <w:rPr>
          <w:rFonts w:ascii="Arial" w:hAnsi="Arial" w:cs="Arial"/>
          <w:color w:val="333333"/>
        </w:rPr>
        <w:t>No obstante, a modo de orientación general, la Ley </w:t>
      </w:r>
      <w:hyperlink r:id="rId6" w:anchor="1010" w:history="1">
        <w:r w:rsidRPr="001D5429">
          <w:rPr>
            <w:rStyle w:val="Hipervnculo"/>
            <w:rFonts w:ascii="Arial" w:hAnsi="Arial" w:cs="Arial"/>
            <w:color w:val="007BFF"/>
            <w:u w:val="none"/>
          </w:rPr>
          <w:t>1010</w:t>
        </w:r>
      </w:hyperlink>
      <w:r w:rsidRPr="001D5429">
        <w:rPr>
          <w:rFonts w:ascii="Arial" w:hAnsi="Arial" w:cs="Arial"/>
          <w:color w:val="333333"/>
        </w:rPr>
        <w:t> de 2006, definió el acoso laboral y determinó las modalidades generales como maltrato laboral, persecución laboral, discriminación laboral, entorpecimiento laboral, inequidad laboral y desprotección laboral. También señala que los reglamentos de trabajo de las empresas e instituciones deberán prever mecanismos de prevención de las conductas de acoso laboral y establecer un procedimiento interno, confidencial, conciliatorio y efectivo para superar las que ocurran en el lugar de trabajo. De igual manera previó unas garantías en favor del quejoso en una presunta situación de acoso laboral con el fin de evitar actos de represalia. </w:t>
      </w:r>
    </w:p>
    <w:p w:rsidR="001D5429" w:rsidRPr="001D5429" w:rsidRDefault="001D5429" w:rsidP="001D5429">
      <w:pPr>
        <w:pStyle w:val="paragraph"/>
        <w:shd w:val="clear" w:color="auto" w:fill="FFFFFF"/>
        <w:spacing w:before="0" w:beforeAutospacing="0"/>
        <w:jc w:val="both"/>
        <w:rPr>
          <w:rFonts w:ascii="Arial" w:hAnsi="Arial" w:cs="Arial"/>
          <w:color w:val="333333"/>
        </w:rPr>
      </w:pPr>
      <w:r w:rsidRPr="001D5429">
        <w:rPr>
          <w:rFonts w:ascii="Arial" w:hAnsi="Arial" w:cs="Arial"/>
          <w:color w:val="333333"/>
        </w:rPr>
        <w:t> Por su parte, la Resolución </w:t>
      </w:r>
      <w:hyperlink r:id="rId7" w:anchor="652" w:history="1">
        <w:r w:rsidRPr="001D5429">
          <w:rPr>
            <w:rStyle w:val="Hipervnculo"/>
            <w:rFonts w:ascii="Arial" w:hAnsi="Arial" w:cs="Arial"/>
            <w:color w:val="007BFF"/>
            <w:u w:val="none"/>
          </w:rPr>
          <w:t>652</w:t>
        </w:r>
      </w:hyperlink>
      <w:r w:rsidRPr="001D5429">
        <w:rPr>
          <w:rFonts w:ascii="Arial" w:hAnsi="Arial" w:cs="Arial"/>
          <w:color w:val="333333"/>
        </w:rPr>
        <w:t> de 2012, modificada por el Artículo </w:t>
      </w:r>
      <w:hyperlink r:id="rId8" w:anchor="1" w:history="1">
        <w:r w:rsidRPr="001D5429">
          <w:rPr>
            <w:rStyle w:val="Hipervnculo"/>
            <w:rFonts w:ascii="Arial" w:hAnsi="Arial" w:cs="Arial"/>
            <w:color w:val="007BFF"/>
            <w:u w:val="none"/>
          </w:rPr>
          <w:t>1</w:t>
        </w:r>
      </w:hyperlink>
      <w:r w:rsidRPr="001D5429">
        <w:rPr>
          <w:rFonts w:ascii="Arial" w:hAnsi="Arial" w:cs="Arial"/>
          <w:color w:val="333333"/>
        </w:rPr>
        <w:t> por la Resolución </w:t>
      </w:r>
      <w:hyperlink r:id="rId9" w:anchor="1356" w:history="1">
        <w:r w:rsidRPr="001D5429">
          <w:rPr>
            <w:rStyle w:val="Hipervnculo"/>
            <w:rFonts w:ascii="Arial" w:hAnsi="Arial" w:cs="Arial"/>
            <w:color w:val="007BFF"/>
            <w:u w:val="none"/>
          </w:rPr>
          <w:t>1356</w:t>
        </w:r>
      </w:hyperlink>
      <w:r w:rsidRPr="001D5429">
        <w:rPr>
          <w:rFonts w:ascii="Arial" w:hAnsi="Arial" w:cs="Arial"/>
          <w:color w:val="333333"/>
        </w:rPr>
        <w:t> de 2012, establece:</w:t>
      </w:r>
    </w:p>
    <w:p w:rsidR="001D5429" w:rsidRPr="001D5429" w:rsidRDefault="001D5429" w:rsidP="001D5429">
      <w:pPr>
        <w:pStyle w:val="paragraph"/>
        <w:shd w:val="clear" w:color="auto" w:fill="FFFFFF"/>
        <w:spacing w:before="0" w:beforeAutospacing="0"/>
        <w:jc w:val="both"/>
        <w:rPr>
          <w:rFonts w:ascii="Arial" w:hAnsi="Arial" w:cs="Arial"/>
          <w:color w:val="333333"/>
        </w:rPr>
      </w:pPr>
      <w:r w:rsidRPr="001D5429">
        <w:rPr>
          <w:rFonts w:ascii="Arial" w:hAnsi="Arial" w:cs="Arial"/>
          <w:color w:val="333333"/>
        </w:rPr>
        <w:t> </w:t>
      </w:r>
      <w:r w:rsidRPr="001D5429">
        <w:rPr>
          <w:rFonts w:ascii="Arial" w:hAnsi="Arial" w:cs="Arial"/>
          <w:b/>
          <w:bCs/>
          <w:i/>
          <w:iCs/>
          <w:color w:val="333333"/>
        </w:rPr>
        <w:t>“ARTÍCULO </w:t>
      </w:r>
      <w:hyperlink r:id="rId10" w:anchor="3" w:history="1">
        <w:r w:rsidRPr="001D5429">
          <w:rPr>
            <w:rStyle w:val="Hipervnculo"/>
            <w:rFonts w:ascii="Arial" w:hAnsi="Arial" w:cs="Arial"/>
            <w:b/>
            <w:bCs/>
            <w:i/>
            <w:iCs/>
            <w:color w:val="007BFF"/>
            <w:u w:val="none"/>
          </w:rPr>
          <w:t>3</w:t>
        </w:r>
      </w:hyperlink>
      <w:r w:rsidRPr="001D5429">
        <w:rPr>
          <w:rFonts w:ascii="Arial" w:hAnsi="Arial" w:cs="Arial"/>
          <w:i/>
          <w:iCs/>
          <w:color w:val="333333"/>
        </w:rPr>
        <w:t>. Conformación. </w:t>
      </w:r>
      <w:r w:rsidRPr="001D5429">
        <w:rPr>
          <w:rFonts w:ascii="Arial" w:hAnsi="Arial" w:cs="Arial"/>
          <w:i/>
          <w:iCs/>
          <w:color w:val="333333"/>
          <w:u w:val="single"/>
        </w:rPr>
        <w:t>El Comité de Convivencia Laboral estará compuesto por dos (2) representantes del empleador y dos (2) de los trabajadores, con sus respectivos suplentes.</w:t>
      </w:r>
      <w:r w:rsidRPr="001D5429">
        <w:rPr>
          <w:rFonts w:ascii="Arial" w:hAnsi="Arial" w:cs="Arial"/>
          <w:i/>
          <w:iCs/>
          <w:color w:val="333333"/>
        </w:rPr>
        <w:t> Las entidades públicas y empresas privadas podrán de acuerdo a su organización interna designar un mayor número de representantes, los cuales en todo caso serán iguales en ambas partes.</w:t>
      </w:r>
    </w:p>
    <w:p w:rsidR="001D5429" w:rsidRPr="001D5429" w:rsidRDefault="001D5429" w:rsidP="001D5429">
      <w:pPr>
        <w:pStyle w:val="paragraph"/>
        <w:shd w:val="clear" w:color="auto" w:fill="FFFFFF"/>
        <w:spacing w:before="0" w:beforeAutospacing="0"/>
        <w:jc w:val="both"/>
        <w:rPr>
          <w:rFonts w:ascii="Arial" w:hAnsi="Arial" w:cs="Arial"/>
          <w:color w:val="333333"/>
        </w:rPr>
      </w:pPr>
      <w:r w:rsidRPr="001D5429">
        <w:rPr>
          <w:rFonts w:ascii="Arial" w:hAnsi="Arial" w:cs="Arial"/>
          <w:i/>
          <w:iCs/>
          <w:color w:val="333333"/>
        </w:rPr>
        <w:t> Los integrantes del Comité preferiblemente contarán con competencias actitudinales y comportamentales tales como: respeto, imparcialidad, tolerancia, serenidad, confidencialidad, reserva en el manejo de información y ética; así mismo, habilidades de comunicación asertiva, liderazgo y resolución de conflictos.</w:t>
      </w:r>
    </w:p>
    <w:p w:rsidR="001D5429" w:rsidRPr="001D5429" w:rsidRDefault="001D5429" w:rsidP="001D5429">
      <w:pPr>
        <w:pStyle w:val="paragraph"/>
        <w:shd w:val="clear" w:color="auto" w:fill="FFFFFF"/>
        <w:spacing w:before="0" w:beforeAutospacing="0"/>
        <w:jc w:val="both"/>
        <w:rPr>
          <w:rFonts w:ascii="Arial" w:hAnsi="Arial" w:cs="Arial"/>
          <w:color w:val="333333"/>
        </w:rPr>
      </w:pPr>
      <w:r w:rsidRPr="001D5429">
        <w:rPr>
          <w:rFonts w:ascii="Arial" w:hAnsi="Arial" w:cs="Arial"/>
          <w:i/>
          <w:iCs/>
          <w:color w:val="333333"/>
        </w:rPr>
        <w:t> En el caso de empresas con menos de veinte (20) trabajadores, dicho comité estará conformado por un representante de los trabajadores y uno (1) del empleador, con sus respectivos suplentes.</w:t>
      </w:r>
    </w:p>
    <w:p w:rsidR="001D5429" w:rsidRPr="001D5429" w:rsidRDefault="001D5429" w:rsidP="001D5429">
      <w:pPr>
        <w:pStyle w:val="paragraph"/>
        <w:shd w:val="clear" w:color="auto" w:fill="FFFFFF"/>
        <w:spacing w:before="0" w:beforeAutospacing="0"/>
        <w:jc w:val="both"/>
        <w:rPr>
          <w:rFonts w:ascii="Arial" w:hAnsi="Arial" w:cs="Arial"/>
          <w:color w:val="333333"/>
        </w:rPr>
      </w:pPr>
      <w:r w:rsidRPr="001D5429">
        <w:rPr>
          <w:rFonts w:ascii="Arial" w:hAnsi="Arial" w:cs="Arial"/>
          <w:i/>
          <w:iCs/>
          <w:color w:val="333333"/>
        </w:rPr>
        <w:t> El empleador designará directamente a sus representantes y los trabajadores elegirán los suyos a través de votación secreta que represente la expresión libre, espontánea y autentica de todos los trabajadores, y mediante escrutinio público, cuyo procedimiento deberá ser adoptado por cada empresa o entidad pública, e incluirse en la respectiva convocatoria de la elección.</w:t>
      </w:r>
    </w:p>
    <w:p w:rsidR="001D5429" w:rsidRPr="001D5429" w:rsidRDefault="001D5429" w:rsidP="001D5429">
      <w:pPr>
        <w:pStyle w:val="paragraph"/>
        <w:shd w:val="clear" w:color="auto" w:fill="FFFFFF"/>
        <w:spacing w:before="0" w:beforeAutospacing="0"/>
        <w:jc w:val="both"/>
        <w:rPr>
          <w:rFonts w:ascii="Arial" w:hAnsi="Arial" w:cs="Arial"/>
          <w:color w:val="333333"/>
        </w:rPr>
      </w:pPr>
      <w:r w:rsidRPr="001D5429">
        <w:rPr>
          <w:rFonts w:ascii="Arial" w:hAnsi="Arial" w:cs="Arial"/>
          <w:i/>
          <w:iCs/>
          <w:color w:val="333333"/>
        </w:rPr>
        <w:t> El Comité de Convivencia laboral de entidades públicas y empresas privadas no podrá conformarse con servidores públicos o trabajadores a los que se les haya formulado una queja de acoso laboral, o que hayan sido víctimas de acoso laboral, en los seis (6) meses anteriores a su conformación.</w:t>
      </w:r>
    </w:p>
    <w:p w:rsidR="001D5429" w:rsidRPr="001D5429" w:rsidRDefault="001D5429" w:rsidP="001D5429">
      <w:pPr>
        <w:pStyle w:val="paragraph"/>
        <w:shd w:val="clear" w:color="auto" w:fill="FFFFFF"/>
        <w:spacing w:before="0" w:beforeAutospacing="0"/>
        <w:jc w:val="both"/>
        <w:rPr>
          <w:rFonts w:ascii="Arial" w:hAnsi="Arial" w:cs="Arial"/>
          <w:color w:val="333333"/>
        </w:rPr>
      </w:pPr>
      <w:r w:rsidRPr="001D5429">
        <w:rPr>
          <w:rFonts w:ascii="Arial" w:hAnsi="Arial" w:cs="Arial"/>
          <w:i/>
          <w:iCs/>
          <w:color w:val="333333"/>
        </w:rPr>
        <w:t> </w:t>
      </w:r>
    </w:p>
    <w:p w:rsidR="001D5429" w:rsidRPr="001D5429" w:rsidRDefault="001D5429" w:rsidP="001D5429">
      <w:pPr>
        <w:pStyle w:val="paragraph"/>
        <w:shd w:val="clear" w:color="auto" w:fill="FFFFFF"/>
        <w:spacing w:before="0" w:beforeAutospacing="0"/>
        <w:jc w:val="both"/>
        <w:rPr>
          <w:rFonts w:ascii="Arial" w:hAnsi="Arial" w:cs="Arial"/>
          <w:color w:val="333333"/>
        </w:rPr>
      </w:pPr>
      <w:r w:rsidRPr="001D5429">
        <w:rPr>
          <w:rFonts w:ascii="Arial" w:hAnsi="Arial" w:cs="Arial"/>
          <w:i/>
          <w:iCs/>
          <w:color w:val="333333"/>
        </w:rPr>
        <w:lastRenderedPageBreak/>
        <w:t>(…)</w:t>
      </w:r>
    </w:p>
    <w:p w:rsidR="001D5429" w:rsidRPr="001D5429" w:rsidRDefault="001D5429" w:rsidP="001D5429">
      <w:pPr>
        <w:pStyle w:val="paragraph"/>
        <w:shd w:val="clear" w:color="auto" w:fill="FFFFFF"/>
        <w:spacing w:before="0" w:beforeAutospacing="0"/>
        <w:jc w:val="both"/>
        <w:rPr>
          <w:rFonts w:ascii="Arial" w:hAnsi="Arial" w:cs="Arial"/>
          <w:color w:val="333333"/>
        </w:rPr>
      </w:pPr>
      <w:r w:rsidRPr="001D5429">
        <w:rPr>
          <w:rFonts w:ascii="Arial" w:hAnsi="Arial" w:cs="Arial"/>
          <w:i/>
          <w:iCs/>
          <w:color w:val="333333"/>
        </w:rPr>
        <w:t> </w:t>
      </w:r>
    </w:p>
    <w:p w:rsidR="001D5429" w:rsidRPr="001D5429" w:rsidRDefault="001D5429" w:rsidP="001D5429">
      <w:pPr>
        <w:pStyle w:val="paragraph"/>
        <w:shd w:val="clear" w:color="auto" w:fill="FFFFFF"/>
        <w:spacing w:before="0" w:beforeAutospacing="0"/>
        <w:jc w:val="both"/>
        <w:rPr>
          <w:rFonts w:ascii="Arial" w:hAnsi="Arial" w:cs="Arial"/>
          <w:color w:val="333333"/>
        </w:rPr>
      </w:pPr>
      <w:r w:rsidRPr="001D5429">
        <w:rPr>
          <w:rFonts w:ascii="Arial" w:hAnsi="Arial" w:cs="Arial"/>
          <w:b/>
          <w:bCs/>
          <w:i/>
          <w:iCs/>
          <w:color w:val="333333"/>
        </w:rPr>
        <w:t>ARTÍCULO </w:t>
      </w:r>
      <w:hyperlink r:id="rId11" w:anchor="11" w:history="1">
        <w:r w:rsidRPr="001D5429">
          <w:rPr>
            <w:rStyle w:val="Hipervnculo"/>
            <w:rFonts w:ascii="Arial" w:hAnsi="Arial" w:cs="Arial"/>
            <w:b/>
            <w:bCs/>
            <w:i/>
            <w:iCs/>
            <w:color w:val="007BFF"/>
            <w:u w:val="none"/>
          </w:rPr>
          <w:t>11</w:t>
        </w:r>
      </w:hyperlink>
      <w:hyperlink r:id="rId12" w:anchor="11" w:history="1">
        <w:r w:rsidRPr="001D5429">
          <w:rPr>
            <w:rStyle w:val="Hipervnculo"/>
            <w:rFonts w:ascii="Arial" w:hAnsi="Arial" w:cs="Arial"/>
            <w:i/>
            <w:iCs/>
            <w:color w:val="007BFF"/>
            <w:u w:val="none"/>
          </w:rPr>
          <w:t>.</w:t>
        </w:r>
      </w:hyperlink>
      <w:r w:rsidRPr="001D5429">
        <w:rPr>
          <w:rFonts w:ascii="Arial" w:hAnsi="Arial" w:cs="Arial"/>
          <w:i/>
          <w:iCs/>
          <w:color w:val="333333"/>
        </w:rPr>
        <w:t> Responsabilidad de los Empleadores Públicos y Privados</w:t>
      </w:r>
      <w:r w:rsidRPr="001D5429">
        <w:rPr>
          <w:rFonts w:ascii="Arial" w:hAnsi="Arial" w:cs="Arial"/>
          <w:i/>
          <w:iCs/>
          <w:color w:val="333333"/>
          <w:u w:val="single"/>
        </w:rPr>
        <w:t>. Las entidades públicas</w:t>
      </w:r>
      <w:r w:rsidRPr="001D5429">
        <w:rPr>
          <w:rFonts w:ascii="Arial" w:hAnsi="Arial" w:cs="Arial"/>
          <w:i/>
          <w:iCs/>
          <w:color w:val="333333"/>
        </w:rPr>
        <w:t> o las empresas privadas</w:t>
      </w:r>
      <w:r w:rsidRPr="001D5429">
        <w:rPr>
          <w:rFonts w:ascii="Arial" w:hAnsi="Arial" w:cs="Arial"/>
          <w:i/>
          <w:iCs/>
          <w:color w:val="333333"/>
          <w:u w:val="single"/>
        </w:rPr>
        <w:t>, a través de la dependencia responsable de gestión humana y los programas de salud ocupacional,</w:t>
      </w:r>
      <w:r w:rsidRPr="001D5429">
        <w:rPr>
          <w:rFonts w:ascii="Arial" w:hAnsi="Arial" w:cs="Arial"/>
          <w:i/>
          <w:iCs/>
          <w:color w:val="333333"/>
        </w:rPr>
        <w:t> deben desarrollar las medidas preventivas y correctivas de acoso laboral, con el fin de promover un excelente ambiente de convivencia laboral, fomentar relaciones sociales positivas entre todos los trabajadores de empresas e instituciones públicas y privadas y respaldar la dignidad e integridad de las personas en el trabajo” </w:t>
      </w:r>
      <w:r w:rsidRPr="001D5429">
        <w:rPr>
          <w:rFonts w:ascii="Arial" w:hAnsi="Arial" w:cs="Arial"/>
          <w:color w:val="333333"/>
        </w:rPr>
        <w:t>(Subraya propia)</w:t>
      </w:r>
    </w:p>
    <w:p w:rsidR="001D5429" w:rsidRPr="001D5429" w:rsidRDefault="001D5429" w:rsidP="001D5429">
      <w:pPr>
        <w:pStyle w:val="paragraph"/>
        <w:shd w:val="clear" w:color="auto" w:fill="FFFFFF"/>
        <w:spacing w:before="0" w:beforeAutospacing="0"/>
        <w:jc w:val="both"/>
        <w:rPr>
          <w:rFonts w:ascii="Arial" w:hAnsi="Arial" w:cs="Arial"/>
          <w:color w:val="333333"/>
        </w:rPr>
      </w:pPr>
      <w:r w:rsidRPr="001D5429">
        <w:rPr>
          <w:rFonts w:ascii="Arial" w:hAnsi="Arial" w:cs="Arial"/>
          <w:i/>
          <w:iCs/>
          <w:color w:val="333333"/>
        </w:rPr>
        <w:t> </w:t>
      </w:r>
      <w:r w:rsidRPr="001D5429">
        <w:rPr>
          <w:rFonts w:ascii="Arial" w:hAnsi="Arial" w:cs="Arial"/>
          <w:color w:val="333333"/>
        </w:rPr>
        <w:t>De acuerdo con lo anterior, la Ley de Acoso Laboral tiene su alcance dentro del ámbito de las relaciones laborales y de subordinación. Así, la autoridad competente para pronunciarse en torno a los presuntos actos de acoso laboral es el Comité de Convivencia Laboral o la instancia creada para tal fin por la Administración. Ahora bien, de acuerdo con la norma, la oficina de talento humano o quien haga sus veces, es la oficina a través de la cual se encabezan las medidas preventivas y correctivas de acoso laboral. En consecuencia, se puede afirmar que esta es la oficina que debe velar por el cumplimiento de las normas relacionas con la implementación de la estrategia para mejorar las relacionas laborales interpersonales y la prevención del acoso laboral al interior de las entidades.</w:t>
      </w:r>
    </w:p>
    <w:p w:rsidR="001D5429" w:rsidRPr="001D5429" w:rsidRDefault="001D5429" w:rsidP="001D5429">
      <w:pPr>
        <w:pStyle w:val="NormalWeb"/>
        <w:shd w:val="clear" w:color="auto" w:fill="FFFFFF"/>
        <w:spacing w:before="0" w:beforeAutospacing="0"/>
        <w:jc w:val="both"/>
        <w:rPr>
          <w:rFonts w:ascii="Arial" w:hAnsi="Arial" w:cs="Arial"/>
          <w:color w:val="333333"/>
        </w:rPr>
      </w:pPr>
      <w:r w:rsidRPr="001D5429">
        <w:rPr>
          <w:rFonts w:ascii="Arial" w:hAnsi="Arial" w:cs="Arial"/>
          <w:color w:val="333333"/>
        </w:rPr>
        <w:t> Finalmente, para mayor información respecto de las normas de administración de los empleados del sector público, las inhabilidades e incompatibilidades aplicables a los mismos; así como la normatividad que ha emitido el Gobierno Nacional a propósito de la emergencia ocasionada por el COVID – 19, me permito indicar que en el link /</w:t>
      </w:r>
      <w:proofErr w:type="spellStart"/>
      <w:r w:rsidRPr="001D5429">
        <w:rPr>
          <w:rFonts w:ascii="Arial" w:hAnsi="Arial" w:cs="Arial"/>
          <w:color w:val="333333"/>
        </w:rPr>
        <w:t>eva</w:t>
      </w:r>
      <w:proofErr w:type="spellEnd"/>
      <w:r w:rsidRPr="001D5429">
        <w:rPr>
          <w:rFonts w:ascii="Arial" w:hAnsi="Arial" w:cs="Arial"/>
          <w:color w:val="333333"/>
        </w:rPr>
        <w:t>/es/gestor-normativo y https://coronaviruscolombia.gov.co/Covid19/index.html podrá encontrar conceptos y normativa relacionados con el tema.</w:t>
      </w:r>
    </w:p>
    <w:p w:rsidR="001D5429" w:rsidRPr="001D5429" w:rsidRDefault="001D5429" w:rsidP="001D5429">
      <w:pPr>
        <w:pStyle w:val="poromisin"/>
        <w:shd w:val="clear" w:color="auto" w:fill="FFFFFF"/>
        <w:spacing w:before="0" w:beforeAutospacing="0"/>
        <w:jc w:val="both"/>
        <w:rPr>
          <w:rFonts w:ascii="Arial" w:hAnsi="Arial" w:cs="Arial"/>
          <w:color w:val="333333"/>
        </w:rPr>
      </w:pPr>
      <w:r w:rsidRPr="001D5429">
        <w:rPr>
          <w:rFonts w:ascii="Arial" w:hAnsi="Arial" w:cs="Arial"/>
          <w:color w:val="333333"/>
        </w:rPr>
        <w:t> El anterior concepto se imparte en los términos del Artículo </w:t>
      </w:r>
      <w:hyperlink r:id="rId13" w:anchor="28" w:history="1">
        <w:r w:rsidRPr="001D5429">
          <w:rPr>
            <w:rStyle w:val="Hipervnculo"/>
            <w:rFonts w:ascii="Arial" w:hAnsi="Arial" w:cs="Arial"/>
            <w:color w:val="007BFF"/>
            <w:u w:val="none"/>
          </w:rPr>
          <w:t>28</w:t>
        </w:r>
      </w:hyperlink>
      <w:r w:rsidRPr="001D5429">
        <w:rPr>
          <w:rFonts w:ascii="Arial" w:hAnsi="Arial" w:cs="Arial"/>
          <w:color w:val="333333"/>
        </w:rPr>
        <w:t> del Código de Procedimiento Administrativo y de lo Contencioso Administrativo.</w:t>
      </w:r>
    </w:p>
    <w:p w:rsidR="001D5429" w:rsidRPr="001D5429" w:rsidRDefault="001D5429" w:rsidP="001D5429">
      <w:pPr>
        <w:pStyle w:val="NormalWeb"/>
        <w:shd w:val="clear" w:color="auto" w:fill="FFFFFF"/>
        <w:spacing w:before="0" w:beforeAutospacing="0"/>
        <w:jc w:val="both"/>
        <w:rPr>
          <w:rFonts w:ascii="Arial" w:hAnsi="Arial" w:cs="Arial"/>
          <w:color w:val="333333"/>
        </w:rPr>
      </w:pPr>
      <w:r w:rsidRPr="001D5429">
        <w:rPr>
          <w:rFonts w:ascii="Arial" w:hAnsi="Arial" w:cs="Arial"/>
          <w:color w:val="333333"/>
        </w:rPr>
        <w:t> Cordialmente,</w:t>
      </w:r>
    </w:p>
    <w:p w:rsidR="001D5429" w:rsidRPr="001D5429" w:rsidRDefault="001D5429" w:rsidP="001D5429">
      <w:pPr>
        <w:pStyle w:val="NormalWeb"/>
        <w:shd w:val="clear" w:color="auto" w:fill="FFFFFF"/>
        <w:spacing w:before="0" w:beforeAutospacing="0"/>
        <w:jc w:val="both"/>
        <w:rPr>
          <w:rFonts w:ascii="Arial" w:hAnsi="Arial" w:cs="Arial"/>
          <w:color w:val="333333"/>
        </w:rPr>
      </w:pPr>
      <w:r w:rsidRPr="001D5429">
        <w:rPr>
          <w:rFonts w:ascii="Arial" w:hAnsi="Arial" w:cs="Arial"/>
          <w:b/>
          <w:bCs/>
          <w:color w:val="333333"/>
        </w:rPr>
        <w:t> ARMANDO LÓPEZ CORTÉS</w:t>
      </w:r>
    </w:p>
    <w:p w:rsidR="001D5429" w:rsidRPr="001D5429" w:rsidRDefault="001D5429" w:rsidP="001D5429">
      <w:pPr>
        <w:pStyle w:val="NormalWeb"/>
        <w:shd w:val="clear" w:color="auto" w:fill="FFFFFF"/>
        <w:spacing w:before="0" w:beforeAutospacing="0"/>
        <w:jc w:val="both"/>
        <w:rPr>
          <w:rFonts w:ascii="Arial" w:hAnsi="Arial" w:cs="Arial"/>
          <w:color w:val="333333"/>
        </w:rPr>
      </w:pPr>
      <w:r w:rsidRPr="001D5429">
        <w:rPr>
          <w:rFonts w:ascii="Arial" w:hAnsi="Arial" w:cs="Arial"/>
          <w:b/>
          <w:bCs/>
          <w:color w:val="333333"/>
        </w:rPr>
        <w:t> Director Jurídico</w:t>
      </w:r>
    </w:p>
    <w:p w:rsidR="001D5429" w:rsidRPr="001D5429" w:rsidRDefault="001D5429" w:rsidP="001D5429">
      <w:pPr>
        <w:pStyle w:val="NormalWeb"/>
        <w:shd w:val="clear" w:color="auto" w:fill="FFFFFF"/>
        <w:spacing w:before="0" w:beforeAutospacing="0"/>
        <w:jc w:val="both"/>
        <w:rPr>
          <w:rFonts w:ascii="Arial" w:hAnsi="Arial" w:cs="Arial"/>
          <w:color w:val="333333"/>
        </w:rPr>
      </w:pPr>
      <w:r w:rsidRPr="001D5429">
        <w:rPr>
          <w:rFonts w:ascii="Arial" w:hAnsi="Arial" w:cs="Arial"/>
          <w:b/>
          <w:bCs/>
          <w:color w:val="333333"/>
        </w:rPr>
        <w:t> </w:t>
      </w:r>
      <w:r w:rsidRPr="001D5429">
        <w:rPr>
          <w:rFonts w:ascii="Arial" w:hAnsi="Arial" w:cs="Arial"/>
          <w:color w:val="333333"/>
        </w:rPr>
        <w:t>Proyectó: Andrea Liz Figueroa</w:t>
      </w:r>
    </w:p>
    <w:p w:rsidR="001D5429" w:rsidRPr="001D5429" w:rsidRDefault="001D5429" w:rsidP="001D5429">
      <w:pPr>
        <w:pStyle w:val="NormalWeb"/>
        <w:shd w:val="clear" w:color="auto" w:fill="FFFFFF"/>
        <w:spacing w:before="0" w:beforeAutospacing="0"/>
        <w:jc w:val="both"/>
        <w:rPr>
          <w:rFonts w:ascii="Arial" w:hAnsi="Arial" w:cs="Arial"/>
          <w:color w:val="333333"/>
        </w:rPr>
      </w:pPr>
      <w:r w:rsidRPr="001D5429">
        <w:rPr>
          <w:rFonts w:ascii="Arial" w:hAnsi="Arial" w:cs="Arial"/>
          <w:color w:val="333333"/>
        </w:rPr>
        <w:t> Revisó: José Fernando Ceballos Arroyave </w:t>
      </w:r>
    </w:p>
    <w:p w:rsidR="00593C60" w:rsidRPr="001D5429" w:rsidRDefault="00593C60" w:rsidP="001D5429">
      <w:pPr>
        <w:jc w:val="both"/>
        <w:rPr>
          <w:sz w:val="24"/>
          <w:szCs w:val="24"/>
        </w:rPr>
      </w:pPr>
    </w:p>
    <w:sectPr w:rsidR="00593C60" w:rsidRPr="001D54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429"/>
    <w:rsid w:val="001D5429"/>
    <w:rsid w:val="00375AA2"/>
    <w:rsid w:val="00593C60"/>
    <w:rsid w:val="00FF0EC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1D542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1D542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1D5429"/>
    <w:rPr>
      <w:color w:val="0000FF"/>
      <w:u w:val="single"/>
    </w:rPr>
  </w:style>
  <w:style w:type="paragraph" w:customStyle="1" w:styleId="poromisin">
    <w:name w:val="poromisin"/>
    <w:basedOn w:val="Normal"/>
    <w:rsid w:val="001D5429"/>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1D5429"/>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1D5429"/>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1D5429"/>
    <w:rPr>
      <w:color w:val="0000FF"/>
      <w:u w:val="single"/>
    </w:rPr>
  </w:style>
  <w:style w:type="paragraph" w:customStyle="1" w:styleId="poromisin">
    <w:name w:val="poromisin"/>
    <w:basedOn w:val="Normal"/>
    <w:rsid w:val="001D5429"/>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20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161750" TargetMode="External"/><Relationship Id="rId13" Type="http://schemas.openxmlformats.org/officeDocument/2006/relationships/hyperlink" Target="https://www.funcionpublica.gov.co/eva/gestornormativo/norma.php?i=41249" TargetMode="External"/><Relationship Id="rId3" Type="http://schemas.openxmlformats.org/officeDocument/2006/relationships/settings" Target="settings.xml"/><Relationship Id="rId7" Type="http://schemas.openxmlformats.org/officeDocument/2006/relationships/hyperlink" Target="https://www.funcionpublica.gov.co/eva/gestornormativo/norma.php?i=161738" TargetMode="External"/><Relationship Id="rId12" Type="http://schemas.openxmlformats.org/officeDocument/2006/relationships/hyperlink" Target="https://www.funcionpublica.gov.co/eva/gestornormativo/norma.php?i=16173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funcionpublica.gov.co/eva/gestornormativo/norma.php?i=18843" TargetMode="External"/><Relationship Id="rId11" Type="http://schemas.openxmlformats.org/officeDocument/2006/relationships/hyperlink" Target="https://www.funcionpublica.gov.co/eva/gestornormativo/norma.php?i=161738" TargetMode="External"/><Relationship Id="rId5" Type="http://schemas.openxmlformats.org/officeDocument/2006/relationships/hyperlink" Target="https://www.funcionpublica.gov.co/eva/gestornormativo/norma.php?i=68813" TargetMode="External"/><Relationship Id="rId15" Type="http://schemas.openxmlformats.org/officeDocument/2006/relationships/theme" Target="theme/theme1.xml"/><Relationship Id="rId10" Type="http://schemas.openxmlformats.org/officeDocument/2006/relationships/hyperlink" Target="https://www.funcionpublica.gov.co/eva/gestornormativo/norma.php?i=161738" TargetMode="External"/><Relationship Id="rId4" Type="http://schemas.openxmlformats.org/officeDocument/2006/relationships/webSettings" Target="webSettings.xml"/><Relationship Id="rId9" Type="http://schemas.openxmlformats.org/officeDocument/2006/relationships/hyperlink" Target="https://www.funcionpublica.gov.co/eva/gestornormativo/norma.php?i=161750"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1191</Words>
  <Characters>6556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7732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personal</cp:lastModifiedBy>
  <cp:revision>2</cp:revision>
  <dcterms:created xsi:type="dcterms:W3CDTF">2021-07-05T16:07:00Z</dcterms:created>
  <dcterms:modified xsi:type="dcterms:W3CDTF">2021-07-05T16:11:00Z</dcterms:modified>
</cp:coreProperties>
</file>